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0D5" w:rsidRPr="004370D5" w:rsidRDefault="004370D5" w:rsidP="004370D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370D5">
        <w:rPr>
          <w:rFonts w:ascii="Times New Roman" w:eastAsia="Times New Roman" w:hAnsi="Times New Roman" w:cs="Times New Roman"/>
          <w:b/>
          <w:bCs/>
          <w:kern w:val="36"/>
          <w:sz w:val="48"/>
          <w:szCs w:val="48"/>
          <w:lang w:eastAsia="ru-RU"/>
        </w:rPr>
        <w:t>Интервью Председателя Правления ПФР Антона Дроздова информационному агентству "РБК",17.01.2019</w:t>
      </w:r>
    </w:p>
    <w:p w:rsidR="004370D5" w:rsidRPr="004370D5" w:rsidRDefault="004370D5" w:rsidP="004370D5">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rsidR="004370D5" w:rsidRPr="004370D5" w:rsidRDefault="004370D5" w:rsidP="004370D5">
      <w:pPr>
        <w:spacing w:before="100" w:beforeAutospacing="1" w:after="100" w:afterAutospacing="1" w:line="240" w:lineRule="auto"/>
        <w:rPr>
          <w:rFonts w:ascii="Times New Roman" w:eastAsia="Times New Roman" w:hAnsi="Times New Roman" w:cs="Times New Roman"/>
          <w:sz w:val="24"/>
          <w:szCs w:val="24"/>
          <w:lang w:eastAsia="ru-RU"/>
        </w:rPr>
      </w:pPr>
      <w:r w:rsidRPr="004370D5">
        <w:rPr>
          <w:rFonts w:ascii="Times New Roman" w:eastAsia="Times New Roman" w:hAnsi="Times New Roman" w:cs="Times New Roman"/>
          <w:sz w:val="24"/>
          <w:szCs w:val="24"/>
          <w:lang w:eastAsia="ru-RU"/>
        </w:rPr>
        <w:t>Глава Пенсионного фонда России Антон Дроздов в интервью РБК рассказал о реформе накопительной пенсии, новом правовом статусе фонда и планах по сокращению его штата. Ключевые высказывания главы ПФР — в материале РБК</w:t>
      </w:r>
    </w:p>
    <w:p w:rsidR="004370D5" w:rsidRPr="004370D5" w:rsidRDefault="004370D5" w:rsidP="004370D5">
      <w:pPr>
        <w:spacing w:before="100" w:beforeAutospacing="1" w:after="100" w:afterAutospacing="1" w:line="240" w:lineRule="auto"/>
        <w:rPr>
          <w:rFonts w:ascii="Times New Roman" w:eastAsia="Times New Roman" w:hAnsi="Times New Roman" w:cs="Times New Roman"/>
          <w:sz w:val="24"/>
          <w:szCs w:val="24"/>
          <w:lang w:eastAsia="ru-RU"/>
        </w:rPr>
      </w:pPr>
      <w:r w:rsidRPr="004370D5">
        <w:rPr>
          <w:rFonts w:ascii="Times New Roman" w:eastAsia="Times New Roman" w:hAnsi="Times New Roman" w:cs="Times New Roman"/>
          <w:b/>
          <w:bCs/>
          <w:sz w:val="24"/>
          <w:szCs w:val="24"/>
          <w:lang w:eastAsia="ru-RU"/>
        </w:rPr>
        <w:t>О реакции россиян на пенсионную реформу</w:t>
      </w:r>
    </w:p>
    <w:p w:rsidR="004370D5" w:rsidRPr="004370D5" w:rsidRDefault="004370D5" w:rsidP="004370D5">
      <w:pPr>
        <w:spacing w:before="100" w:beforeAutospacing="1" w:after="100" w:afterAutospacing="1" w:line="240" w:lineRule="auto"/>
        <w:rPr>
          <w:rFonts w:ascii="Times New Roman" w:eastAsia="Times New Roman" w:hAnsi="Times New Roman" w:cs="Times New Roman"/>
          <w:sz w:val="24"/>
          <w:szCs w:val="24"/>
          <w:lang w:eastAsia="ru-RU"/>
        </w:rPr>
      </w:pPr>
      <w:r w:rsidRPr="004370D5">
        <w:rPr>
          <w:rFonts w:ascii="Times New Roman" w:eastAsia="Times New Roman" w:hAnsi="Times New Roman" w:cs="Times New Roman"/>
          <w:sz w:val="24"/>
          <w:szCs w:val="24"/>
          <w:lang w:eastAsia="ru-RU"/>
        </w:rPr>
        <w:t xml:space="preserve">«Это всегда чувствительный вопрос. Во всех странах повышение пенсионного возраста происходит достаточно болезненно. Конечно, прежде </w:t>
      </w:r>
      <w:proofErr w:type="gramStart"/>
      <w:r w:rsidRPr="004370D5">
        <w:rPr>
          <w:rFonts w:ascii="Times New Roman" w:eastAsia="Times New Roman" w:hAnsi="Times New Roman" w:cs="Times New Roman"/>
          <w:sz w:val="24"/>
          <w:szCs w:val="24"/>
          <w:lang w:eastAsia="ru-RU"/>
        </w:rPr>
        <w:t>всего</w:t>
      </w:r>
      <w:proofErr w:type="gramEnd"/>
      <w:r w:rsidRPr="004370D5">
        <w:rPr>
          <w:rFonts w:ascii="Times New Roman" w:eastAsia="Times New Roman" w:hAnsi="Times New Roman" w:cs="Times New Roman"/>
          <w:sz w:val="24"/>
          <w:szCs w:val="24"/>
          <w:lang w:eastAsia="ru-RU"/>
        </w:rPr>
        <w:t xml:space="preserve"> пенсионные вопросы связаны с вопросами заработной платы, поскольку у нас пенсия — это компенсация утраченного заработка. И, как правило, те, кто был против повышения пенсионного возраста, говорили о том, что заработная плата невысокая и пенсия для них </w:t>
      </w:r>
      <w:proofErr w:type="gramStart"/>
      <w:r w:rsidRPr="004370D5">
        <w:rPr>
          <w:rFonts w:ascii="Times New Roman" w:eastAsia="Times New Roman" w:hAnsi="Times New Roman" w:cs="Times New Roman"/>
          <w:sz w:val="24"/>
          <w:szCs w:val="24"/>
          <w:lang w:eastAsia="ru-RU"/>
        </w:rPr>
        <w:t>является</w:t>
      </w:r>
      <w:proofErr w:type="gramEnd"/>
      <w:r w:rsidRPr="004370D5">
        <w:rPr>
          <w:rFonts w:ascii="Times New Roman" w:eastAsia="Times New Roman" w:hAnsi="Times New Roman" w:cs="Times New Roman"/>
          <w:sz w:val="24"/>
          <w:szCs w:val="24"/>
          <w:lang w:eastAsia="ru-RU"/>
        </w:rPr>
        <w:t xml:space="preserve"> по сути дополнительным доходом для того, чтобы иметь достойный уровень жизни. Поэтому мы ожидали, что будет много вопросов, и на ряд вопросов нам удалось ответить. С одной стороны, это сохранение льгот по выходу на пенсию для тех, кто работает во вредных и опасных условиях труда и относится к малочисленным народам Севера, и в то же время принято решение о сохранении льгот для </w:t>
      </w:r>
      <w:proofErr w:type="spellStart"/>
      <w:r w:rsidRPr="004370D5">
        <w:rPr>
          <w:rFonts w:ascii="Times New Roman" w:eastAsia="Times New Roman" w:hAnsi="Times New Roman" w:cs="Times New Roman"/>
          <w:sz w:val="24"/>
          <w:szCs w:val="24"/>
          <w:lang w:eastAsia="ru-RU"/>
        </w:rPr>
        <w:t>предпенсионеров</w:t>
      </w:r>
      <w:proofErr w:type="spellEnd"/>
      <w:r w:rsidRPr="004370D5">
        <w:rPr>
          <w:rFonts w:ascii="Times New Roman" w:eastAsia="Times New Roman" w:hAnsi="Times New Roman" w:cs="Times New Roman"/>
          <w:sz w:val="24"/>
          <w:szCs w:val="24"/>
          <w:lang w:eastAsia="ru-RU"/>
        </w:rPr>
        <w:t xml:space="preserve"> в части имущественных и земельных налогов, а также муниципальных и региональных льгот (коммунальные платежи, транспорт, лекарства). Удалось решить вопросы, связанные с дополнительной индексацией сверх инфляции. Именно такой компромиссный пакет родился в результате обсуждений, дискуссий, и сейчас мы имеем </w:t>
      </w:r>
      <w:proofErr w:type="spellStart"/>
      <w:proofErr w:type="gramStart"/>
      <w:r w:rsidRPr="004370D5">
        <w:rPr>
          <w:rFonts w:ascii="Times New Roman" w:eastAsia="Times New Roman" w:hAnsi="Times New Roman" w:cs="Times New Roman"/>
          <w:sz w:val="24"/>
          <w:szCs w:val="24"/>
          <w:lang w:eastAsia="ru-RU"/>
        </w:rPr>
        <w:t>опр</w:t>
      </w:r>
      <w:proofErr w:type="spellEnd"/>
      <w:proofErr w:type="gramEnd"/>
      <w:r w:rsidRPr="004370D5">
        <w:rPr>
          <w:rFonts w:ascii="Times New Roman" w:eastAsia="Times New Roman" w:hAnsi="Times New Roman" w:cs="Times New Roman"/>
          <w:sz w:val="24"/>
          <w:szCs w:val="24"/>
          <w:lang w:eastAsia="ru-RU"/>
        </w:rPr>
        <w:t>​</w:t>
      </w:r>
      <w:proofErr w:type="spellStart"/>
      <w:r w:rsidRPr="004370D5">
        <w:rPr>
          <w:rFonts w:ascii="Times New Roman" w:eastAsia="Times New Roman" w:hAnsi="Times New Roman" w:cs="Times New Roman"/>
          <w:sz w:val="24"/>
          <w:szCs w:val="24"/>
          <w:lang w:eastAsia="ru-RU"/>
        </w:rPr>
        <w:t>еделенный</w:t>
      </w:r>
      <w:proofErr w:type="spellEnd"/>
      <w:r w:rsidRPr="004370D5">
        <w:rPr>
          <w:rFonts w:ascii="Times New Roman" w:eastAsia="Times New Roman" w:hAnsi="Times New Roman" w:cs="Times New Roman"/>
          <w:sz w:val="24"/>
          <w:szCs w:val="24"/>
          <w:lang w:eastAsia="ru-RU"/>
        </w:rPr>
        <w:t xml:space="preserve"> консенсус по этому вопросу».</w:t>
      </w:r>
    </w:p>
    <w:p w:rsidR="004370D5" w:rsidRPr="004370D5" w:rsidRDefault="004370D5" w:rsidP="004370D5">
      <w:pPr>
        <w:spacing w:before="100" w:beforeAutospacing="1" w:after="100" w:afterAutospacing="1" w:line="240" w:lineRule="auto"/>
        <w:rPr>
          <w:rFonts w:ascii="Times New Roman" w:eastAsia="Times New Roman" w:hAnsi="Times New Roman" w:cs="Times New Roman"/>
          <w:sz w:val="24"/>
          <w:szCs w:val="24"/>
          <w:lang w:eastAsia="ru-RU"/>
        </w:rPr>
      </w:pPr>
      <w:r w:rsidRPr="004370D5">
        <w:rPr>
          <w:rFonts w:ascii="Times New Roman" w:eastAsia="Times New Roman" w:hAnsi="Times New Roman" w:cs="Times New Roman"/>
          <w:b/>
          <w:bCs/>
          <w:sz w:val="24"/>
          <w:szCs w:val="24"/>
          <w:lang w:eastAsia="ru-RU"/>
        </w:rPr>
        <w:t>О реформе накопительной пенсии и введении системы ИПК</w:t>
      </w:r>
    </w:p>
    <w:p w:rsidR="004370D5" w:rsidRPr="004370D5" w:rsidRDefault="004370D5" w:rsidP="004370D5">
      <w:pPr>
        <w:spacing w:before="100" w:beforeAutospacing="1" w:after="100" w:afterAutospacing="1" w:line="240" w:lineRule="auto"/>
        <w:rPr>
          <w:rFonts w:ascii="Times New Roman" w:eastAsia="Times New Roman" w:hAnsi="Times New Roman" w:cs="Times New Roman"/>
          <w:sz w:val="24"/>
          <w:szCs w:val="24"/>
          <w:lang w:eastAsia="ru-RU"/>
        </w:rPr>
      </w:pPr>
      <w:r w:rsidRPr="004370D5">
        <w:rPr>
          <w:rFonts w:ascii="Times New Roman" w:eastAsia="Times New Roman" w:hAnsi="Times New Roman" w:cs="Times New Roman"/>
          <w:sz w:val="24"/>
          <w:szCs w:val="24"/>
          <w:lang w:eastAsia="ru-RU"/>
        </w:rPr>
        <w:t xml:space="preserve">«Заморозка пенсионных накоплений долго продолжаться не может, и просто граждане ждут какого-то решения. Концепция индивидуального пенсионного капитала (ИПК) в прошлом году </w:t>
      </w:r>
      <w:proofErr w:type="gramStart"/>
      <w:r w:rsidRPr="004370D5">
        <w:rPr>
          <w:rFonts w:ascii="Times New Roman" w:eastAsia="Times New Roman" w:hAnsi="Times New Roman" w:cs="Times New Roman"/>
          <w:sz w:val="24"/>
          <w:szCs w:val="24"/>
          <w:lang w:eastAsia="ru-RU"/>
        </w:rPr>
        <w:t>обсуждалась</w:t>
      </w:r>
      <w:proofErr w:type="gramEnd"/>
      <w:r w:rsidRPr="004370D5">
        <w:rPr>
          <w:rFonts w:ascii="Times New Roman" w:eastAsia="Times New Roman" w:hAnsi="Times New Roman" w:cs="Times New Roman"/>
          <w:sz w:val="24"/>
          <w:szCs w:val="24"/>
          <w:lang w:eastAsia="ru-RU"/>
        </w:rPr>
        <w:t xml:space="preserve"> и в этом году будет обсуждаться уже в форме законопроекта. Мы считаем это правильным направлением, поскольку граждане должны иметь дополнительный инструмент для того, чтобы увеличивать пенсионные права. </w:t>
      </w:r>
      <w:proofErr w:type="gramStart"/>
      <w:r w:rsidRPr="004370D5">
        <w:rPr>
          <w:rFonts w:ascii="Times New Roman" w:eastAsia="Times New Roman" w:hAnsi="Times New Roman" w:cs="Times New Roman"/>
          <w:sz w:val="24"/>
          <w:szCs w:val="24"/>
          <w:lang w:eastAsia="ru-RU"/>
        </w:rPr>
        <w:t>Пенсионный фонд дает базовые гарантии, минимальный коэффициент замещения, который у нас определен 102-й конвенцией Международной организации труда (.</w:t>
      </w:r>
      <w:proofErr w:type="spellStart"/>
      <w:r w:rsidRPr="004370D5">
        <w:rPr>
          <w:rFonts w:ascii="Times New Roman" w:eastAsia="Times New Roman" w:hAnsi="Times New Roman" w:cs="Times New Roman"/>
          <w:sz w:val="24"/>
          <w:szCs w:val="24"/>
          <w:lang w:eastAsia="ru-RU"/>
        </w:rPr>
        <w:t>pdf</w:t>
      </w:r>
      <w:proofErr w:type="spellEnd"/>
      <w:r w:rsidRPr="004370D5">
        <w:rPr>
          <w:rFonts w:ascii="Times New Roman" w:eastAsia="Times New Roman" w:hAnsi="Times New Roman" w:cs="Times New Roman"/>
          <w:sz w:val="24"/>
          <w:szCs w:val="24"/>
          <w:lang w:eastAsia="ru-RU"/>
        </w:rPr>
        <w:t>, Россия ратифицировала эту конвенцию в 2018 году, она определяет, что пенсия должна составлять не менее 40% прежнего заработка пенсионера.</w:t>
      </w:r>
      <w:proofErr w:type="gramEnd"/>
      <w:r w:rsidRPr="004370D5">
        <w:rPr>
          <w:rFonts w:ascii="Times New Roman" w:eastAsia="Times New Roman" w:hAnsi="Times New Roman" w:cs="Times New Roman"/>
          <w:sz w:val="24"/>
          <w:szCs w:val="24"/>
          <w:lang w:eastAsia="ru-RU"/>
        </w:rPr>
        <w:t xml:space="preserve"> — </w:t>
      </w:r>
      <w:proofErr w:type="gramStart"/>
      <w:r w:rsidRPr="004370D5">
        <w:rPr>
          <w:rFonts w:ascii="Times New Roman" w:eastAsia="Times New Roman" w:hAnsi="Times New Roman" w:cs="Times New Roman"/>
          <w:sz w:val="24"/>
          <w:szCs w:val="24"/>
          <w:lang w:eastAsia="ru-RU"/>
        </w:rPr>
        <w:t>РБК).</w:t>
      </w:r>
      <w:proofErr w:type="gramEnd"/>
      <w:r w:rsidRPr="004370D5">
        <w:rPr>
          <w:rFonts w:ascii="Times New Roman" w:eastAsia="Times New Roman" w:hAnsi="Times New Roman" w:cs="Times New Roman"/>
          <w:sz w:val="24"/>
          <w:szCs w:val="24"/>
          <w:lang w:eastAsia="ru-RU"/>
        </w:rPr>
        <w:t xml:space="preserve"> У нас есть определенные гарантирующие страховые возможности. Например, никто не может получать пенсию ниже прожиточного минимума субъекта РФ, есть федеральные и региональные социальные доплаты. В частности, из бюджета Пенсионного фонда в этом году 86 </w:t>
      </w:r>
      <w:proofErr w:type="gramStart"/>
      <w:r w:rsidRPr="004370D5">
        <w:rPr>
          <w:rFonts w:ascii="Times New Roman" w:eastAsia="Times New Roman" w:hAnsi="Times New Roman" w:cs="Times New Roman"/>
          <w:sz w:val="24"/>
          <w:szCs w:val="24"/>
          <w:lang w:eastAsia="ru-RU"/>
        </w:rPr>
        <w:t>млрд</w:t>
      </w:r>
      <w:proofErr w:type="gramEnd"/>
      <w:r w:rsidRPr="004370D5">
        <w:rPr>
          <w:rFonts w:ascii="Times New Roman" w:eastAsia="Times New Roman" w:hAnsi="Times New Roman" w:cs="Times New Roman"/>
          <w:sz w:val="24"/>
          <w:szCs w:val="24"/>
          <w:lang w:eastAsia="ru-RU"/>
        </w:rPr>
        <w:t xml:space="preserve"> руб. будет направлено гражданам 70 регионов на федеральные доплаты. А всего федеральные и ​​региональные доплаты получат более 5 </w:t>
      </w:r>
      <w:proofErr w:type="gramStart"/>
      <w:r w:rsidRPr="004370D5">
        <w:rPr>
          <w:rFonts w:ascii="Times New Roman" w:eastAsia="Times New Roman" w:hAnsi="Times New Roman" w:cs="Times New Roman"/>
          <w:sz w:val="24"/>
          <w:szCs w:val="24"/>
          <w:lang w:eastAsia="ru-RU"/>
        </w:rPr>
        <w:t>млн</w:t>
      </w:r>
      <w:proofErr w:type="gramEnd"/>
      <w:r w:rsidRPr="004370D5">
        <w:rPr>
          <w:rFonts w:ascii="Times New Roman" w:eastAsia="Times New Roman" w:hAnsi="Times New Roman" w:cs="Times New Roman"/>
          <w:sz w:val="24"/>
          <w:szCs w:val="24"/>
          <w:lang w:eastAsia="ru-RU"/>
        </w:rPr>
        <w:t xml:space="preserve"> человек. А вот если мы говорим о более высоких уровнях пенсионного обеспечения, то нужно развивать другие институты, которые, как слоеный пирог, надстраиваются на базовую систему. Долгосрочная стратегия развития пенсионной системы, утвержденная правительством в 2012 году, предусматривала развитие корпоративных и индивидуальных добровольных пенсионных систем. Поэтому мы рассматриваем систему ИПК как элемент этой стратегии, как элемент всей пенсионной системы. При обсуждении ИПК мы исходим из </w:t>
      </w:r>
      <w:r w:rsidRPr="004370D5">
        <w:rPr>
          <w:rFonts w:ascii="Times New Roman" w:eastAsia="Times New Roman" w:hAnsi="Times New Roman" w:cs="Times New Roman"/>
          <w:sz w:val="24"/>
          <w:szCs w:val="24"/>
          <w:lang w:eastAsia="ru-RU"/>
        </w:rPr>
        <w:lastRenderedPageBreak/>
        <w:t>того, что это возможность дополнительно сформировать пенсионные права за счет сре</w:t>
      </w:r>
      <w:proofErr w:type="gramStart"/>
      <w:r w:rsidRPr="004370D5">
        <w:rPr>
          <w:rFonts w:ascii="Times New Roman" w:eastAsia="Times New Roman" w:hAnsi="Times New Roman" w:cs="Times New Roman"/>
          <w:sz w:val="24"/>
          <w:szCs w:val="24"/>
          <w:lang w:eastAsia="ru-RU"/>
        </w:rPr>
        <w:t>дств гр</w:t>
      </w:r>
      <w:proofErr w:type="gramEnd"/>
      <w:r w:rsidRPr="004370D5">
        <w:rPr>
          <w:rFonts w:ascii="Times New Roman" w:eastAsia="Times New Roman" w:hAnsi="Times New Roman" w:cs="Times New Roman"/>
          <w:sz w:val="24"/>
          <w:szCs w:val="24"/>
          <w:lang w:eastAsia="ru-RU"/>
        </w:rPr>
        <w:t>аждан и работодателей».</w:t>
      </w:r>
    </w:p>
    <w:p w:rsidR="004370D5" w:rsidRPr="004370D5" w:rsidRDefault="004370D5" w:rsidP="004370D5">
      <w:pPr>
        <w:spacing w:before="100" w:beforeAutospacing="1" w:after="100" w:afterAutospacing="1" w:line="240" w:lineRule="auto"/>
        <w:rPr>
          <w:rFonts w:ascii="Times New Roman" w:eastAsia="Times New Roman" w:hAnsi="Times New Roman" w:cs="Times New Roman"/>
          <w:sz w:val="24"/>
          <w:szCs w:val="24"/>
          <w:lang w:eastAsia="ru-RU"/>
        </w:rPr>
      </w:pPr>
      <w:r w:rsidRPr="004370D5">
        <w:rPr>
          <w:rFonts w:ascii="Times New Roman" w:eastAsia="Times New Roman" w:hAnsi="Times New Roman" w:cs="Times New Roman"/>
          <w:b/>
          <w:bCs/>
          <w:sz w:val="24"/>
          <w:szCs w:val="24"/>
          <w:lang w:eastAsia="ru-RU"/>
        </w:rPr>
        <w:t>О потенциальных участниках системы ИПК</w:t>
      </w:r>
    </w:p>
    <w:p w:rsidR="004370D5" w:rsidRPr="004370D5" w:rsidRDefault="004370D5" w:rsidP="004370D5">
      <w:pPr>
        <w:spacing w:before="100" w:beforeAutospacing="1" w:after="100" w:afterAutospacing="1" w:line="240" w:lineRule="auto"/>
        <w:rPr>
          <w:rFonts w:ascii="Times New Roman" w:eastAsia="Times New Roman" w:hAnsi="Times New Roman" w:cs="Times New Roman"/>
          <w:sz w:val="24"/>
          <w:szCs w:val="24"/>
          <w:lang w:eastAsia="ru-RU"/>
        </w:rPr>
      </w:pPr>
      <w:r w:rsidRPr="004370D5">
        <w:rPr>
          <w:rFonts w:ascii="Times New Roman" w:eastAsia="Times New Roman" w:hAnsi="Times New Roman" w:cs="Times New Roman"/>
          <w:sz w:val="24"/>
          <w:szCs w:val="24"/>
          <w:lang w:eastAsia="ru-RU"/>
        </w:rPr>
        <w:t xml:space="preserve">«[Система ИПК ориентирована] на тех, кто работает по найму, и тех, кто готов из заработка дополнительно перечислять средства для формирования будущей пенсии. Сейчас в Пенсионный фонд гражданин ничего не платит, 22% платит работодатель. В законопроекте об ИПК будут предложены механизмы, которые позволят гражданам и работодателю дополнительно участвовать в формировании пенсионных накоплений. И второй момент: создана система гарантирования пенсионных накоплений, все НПФ прошли экспертизу на соблюдение критериев Центрального банка, было произведено их акционирование, и таким образом ужесточен </w:t>
      </w:r>
      <w:proofErr w:type="gramStart"/>
      <w:r w:rsidRPr="004370D5">
        <w:rPr>
          <w:rFonts w:ascii="Times New Roman" w:eastAsia="Times New Roman" w:hAnsi="Times New Roman" w:cs="Times New Roman"/>
          <w:sz w:val="24"/>
          <w:szCs w:val="24"/>
          <w:lang w:eastAsia="ru-RU"/>
        </w:rPr>
        <w:t>контроль за</w:t>
      </w:r>
      <w:proofErr w:type="gramEnd"/>
      <w:r w:rsidRPr="004370D5">
        <w:rPr>
          <w:rFonts w:ascii="Times New Roman" w:eastAsia="Times New Roman" w:hAnsi="Times New Roman" w:cs="Times New Roman"/>
          <w:sz w:val="24"/>
          <w:szCs w:val="24"/>
          <w:lang w:eastAsia="ru-RU"/>
        </w:rPr>
        <w:t xml:space="preserve"> работой фондов. С ПФР сейчас работают 35 НПФ, </w:t>
      </w:r>
      <w:proofErr w:type="gramStart"/>
      <w:r w:rsidRPr="004370D5">
        <w:rPr>
          <w:rFonts w:ascii="Times New Roman" w:eastAsia="Times New Roman" w:hAnsi="Times New Roman" w:cs="Times New Roman"/>
          <w:sz w:val="24"/>
          <w:szCs w:val="24"/>
          <w:lang w:eastAsia="ru-RU"/>
        </w:rPr>
        <w:t>имеющих</w:t>
      </w:r>
      <w:proofErr w:type="gramEnd"/>
      <w:r w:rsidRPr="004370D5">
        <w:rPr>
          <w:rFonts w:ascii="Times New Roman" w:eastAsia="Times New Roman" w:hAnsi="Times New Roman" w:cs="Times New Roman"/>
          <w:sz w:val="24"/>
          <w:szCs w:val="24"/>
          <w:lang w:eastAsia="ru-RU"/>
        </w:rPr>
        <w:t xml:space="preserve"> лицензию на обязательное пенсионное страхование. Мы считаем, что эта работа является хорошей основой создания системы ИПК. Важно, что будет сохранена система гарантированных пенсионных накоплений, которая позволяет в случае каких-то потерь застраховать граждан, как это делается и для вкладчиков в кредитных организациях. Мы считаем, что добровольный характер [вступления в систему ИПК] должен сохраниться, но вот вопрос механизма вступления в ИПК будет являться предметом дискуссии при обсуждении законопроекта».</w:t>
      </w:r>
    </w:p>
    <w:p w:rsidR="004370D5" w:rsidRPr="004370D5" w:rsidRDefault="004370D5" w:rsidP="004370D5">
      <w:pPr>
        <w:spacing w:before="100" w:beforeAutospacing="1" w:after="100" w:afterAutospacing="1" w:line="240" w:lineRule="auto"/>
        <w:rPr>
          <w:rFonts w:ascii="Times New Roman" w:eastAsia="Times New Roman" w:hAnsi="Times New Roman" w:cs="Times New Roman"/>
          <w:sz w:val="24"/>
          <w:szCs w:val="24"/>
          <w:lang w:eastAsia="ru-RU"/>
        </w:rPr>
      </w:pPr>
      <w:r w:rsidRPr="004370D5">
        <w:rPr>
          <w:rFonts w:ascii="Times New Roman" w:eastAsia="Times New Roman" w:hAnsi="Times New Roman" w:cs="Times New Roman"/>
          <w:b/>
          <w:bCs/>
          <w:sz w:val="24"/>
          <w:szCs w:val="24"/>
          <w:lang w:eastAsia="ru-RU"/>
        </w:rPr>
        <w:t>О передаче накоплений «молчунов» в ВЭБ</w:t>
      </w:r>
    </w:p>
    <w:p w:rsidR="004370D5" w:rsidRPr="004370D5" w:rsidRDefault="004370D5" w:rsidP="004370D5">
      <w:pPr>
        <w:spacing w:before="100" w:beforeAutospacing="1" w:after="100" w:afterAutospacing="1" w:line="240" w:lineRule="auto"/>
        <w:rPr>
          <w:rFonts w:ascii="Times New Roman" w:eastAsia="Times New Roman" w:hAnsi="Times New Roman" w:cs="Times New Roman"/>
          <w:sz w:val="24"/>
          <w:szCs w:val="24"/>
          <w:lang w:eastAsia="ru-RU"/>
        </w:rPr>
      </w:pPr>
      <w:r w:rsidRPr="004370D5">
        <w:rPr>
          <w:rFonts w:ascii="Times New Roman" w:eastAsia="Times New Roman" w:hAnsi="Times New Roman" w:cs="Times New Roman"/>
          <w:sz w:val="24"/>
          <w:szCs w:val="24"/>
          <w:lang w:eastAsia="ru-RU"/>
        </w:rPr>
        <w:t xml:space="preserve">«ВЭБ сейчас является нашим агентом по размещению средств пенсионных накоплений, но не ведет счета граждан. Это делает Пенсионный фонд. Дело в том, что в </w:t>
      </w:r>
      <w:proofErr w:type="spellStart"/>
      <w:r w:rsidRPr="004370D5">
        <w:rPr>
          <w:rFonts w:ascii="Times New Roman" w:eastAsia="Times New Roman" w:hAnsi="Times New Roman" w:cs="Times New Roman"/>
          <w:sz w:val="24"/>
          <w:szCs w:val="24"/>
          <w:lang w:eastAsia="ru-RU"/>
        </w:rPr>
        <w:t>ВЭБе</w:t>
      </w:r>
      <w:proofErr w:type="spellEnd"/>
      <w:r w:rsidRPr="004370D5">
        <w:rPr>
          <w:rFonts w:ascii="Times New Roman" w:eastAsia="Times New Roman" w:hAnsi="Times New Roman" w:cs="Times New Roman"/>
          <w:sz w:val="24"/>
          <w:szCs w:val="24"/>
          <w:lang w:eastAsia="ru-RU"/>
        </w:rPr>
        <w:t xml:space="preserve"> львиная доля тех, кто держит свои пенсионные накопления, — это «молчуны». То есть это те граждане, которые не приняли решение, что они направляют свои средства в НПФ. Поэтому, наверное, здесь логичным будет просто предоставить им выбор. Если они решат копить, то вопрос институтов — это уже второй вопрос. Будет ли ВЭБ перестраивать свою работу и становиться одним из институтов, равным НПФ, или он будет каким-то иным способом заниматься этим — этот уже вопрос не является для нас таким критичным, это просто вопрос определенной настройки системы».</w:t>
      </w:r>
    </w:p>
    <w:p w:rsidR="004370D5" w:rsidRPr="004370D5" w:rsidRDefault="004370D5" w:rsidP="004370D5">
      <w:pPr>
        <w:spacing w:before="100" w:beforeAutospacing="1" w:after="100" w:afterAutospacing="1" w:line="240" w:lineRule="auto"/>
        <w:rPr>
          <w:rFonts w:ascii="Times New Roman" w:eastAsia="Times New Roman" w:hAnsi="Times New Roman" w:cs="Times New Roman"/>
          <w:sz w:val="24"/>
          <w:szCs w:val="24"/>
          <w:lang w:eastAsia="ru-RU"/>
        </w:rPr>
      </w:pPr>
      <w:r w:rsidRPr="004370D5">
        <w:rPr>
          <w:rFonts w:ascii="Times New Roman" w:eastAsia="Times New Roman" w:hAnsi="Times New Roman" w:cs="Times New Roman"/>
          <w:b/>
          <w:bCs/>
          <w:sz w:val="24"/>
          <w:szCs w:val="24"/>
          <w:lang w:eastAsia="ru-RU"/>
        </w:rPr>
        <w:t>О правовом статусе Пенсионного фонда</w:t>
      </w:r>
    </w:p>
    <w:p w:rsidR="004370D5" w:rsidRPr="004370D5" w:rsidRDefault="004370D5" w:rsidP="004370D5">
      <w:pPr>
        <w:spacing w:before="100" w:beforeAutospacing="1" w:after="100" w:afterAutospacing="1" w:line="240" w:lineRule="auto"/>
        <w:rPr>
          <w:rFonts w:ascii="Times New Roman" w:eastAsia="Times New Roman" w:hAnsi="Times New Roman" w:cs="Times New Roman"/>
          <w:sz w:val="24"/>
          <w:szCs w:val="24"/>
          <w:lang w:eastAsia="ru-RU"/>
        </w:rPr>
      </w:pPr>
      <w:r w:rsidRPr="004370D5">
        <w:rPr>
          <w:rFonts w:ascii="Times New Roman" w:eastAsia="Times New Roman" w:hAnsi="Times New Roman" w:cs="Times New Roman"/>
          <w:sz w:val="24"/>
          <w:szCs w:val="24"/>
          <w:lang w:eastAsia="ru-RU"/>
        </w:rPr>
        <w:t xml:space="preserve">«Во-первых, я хочу сказать, что согласно действующему законодательству организационно-правовая форма ПФР определена — это государственное учреждение. Но другой вопрос, что этот закон рамочный, а если брать уже конкретные функции и полномочия фонда, то они определяются многими документами — это и постановления Верховного Совета [РСФСР], и указы президента, и более поздние законы, которые в своей совокупности определяют правоспособность ПФР. Это не является удобным, поскольку эти законы и постановления принимались в разные годы и часто взаимно друг друга исключали. Поэтому здесь, конечно, первая задача закона [о статусе ПФР] — это кодифицировать все, что есть, в одном документе. Остается еще вопрос о форме собственности на пенсии. Сейчас мы находимся в той парадигме, что пенсии — это государственные средства, которые являются частью бюджета фонда, а бюджет фонда является частью бюджетной системы РФ, и все это гарантируется государством. Поэтому с точки зрения статуса фонда если мы входим в публично-правовую компанию, то отношения с государством должны быть перестроены. Если мы возвращаемся к государственному учреждению — то это фактически то, что есть в настоящее время. Мы сейчас анализируем плюсы и минусы той или иной формы, включая публично-правовую компанию, и иные формы, например «некоммерческая организация» и «государственный </w:t>
      </w:r>
      <w:r w:rsidRPr="004370D5">
        <w:rPr>
          <w:rFonts w:ascii="Times New Roman" w:eastAsia="Times New Roman" w:hAnsi="Times New Roman" w:cs="Times New Roman"/>
          <w:sz w:val="24"/>
          <w:szCs w:val="24"/>
          <w:lang w:eastAsia="ru-RU"/>
        </w:rPr>
        <w:lastRenderedPageBreak/>
        <w:t xml:space="preserve">социальный фонд». Гражданский кодекс </w:t>
      </w:r>
      <w:proofErr w:type="gramStart"/>
      <w:r w:rsidRPr="004370D5">
        <w:rPr>
          <w:rFonts w:ascii="Times New Roman" w:eastAsia="Times New Roman" w:hAnsi="Times New Roman" w:cs="Times New Roman"/>
          <w:sz w:val="24"/>
          <w:szCs w:val="24"/>
          <w:lang w:eastAsia="ru-RU"/>
        </w:rPr>
        <w:t>позволяет</w:t>
      </w:r>
      <w:proofErr w:type="gramEnd"/>
      <w:r w:rsidRPr="004370D5">
        <w:rPr>
          <w:rFonts w:ascii="Times New Roman" w:eastAsia="Times New Roman" w:hAnsi="Times New Roman" w:cs="Times New Roman"/>
          <w:sz w:val="24"/>
          <w:szCs w:val="24"/>
          <w:lang w:eastAsia="ru-RU"/>
        </w:rPr>
        <w:t xml:space="preserve"> как воспользоваться одной из прописанных форм некоммерческой организации, так и в силу закона сделать отдельную форму некоммерческой организации. В первом квартале этого года мы должны представить свое видение в правительство Российской Федерации. То есть в течение нескольких месяцев мы должны будем концептуально определиться в данном вопросе, и только после этого можно будет уже говорить о том, что можем готовить какие-то законопроекты».</w:t>
      </w:r>
    </w:p>
    <w:p w:rsidR="004370D5" w:rsidRPr="004370D5" w:rsidRDefault="004370D5" w:rsidP="004370D5">
      <w:pPr>
        <w:spacing w:before="100" w:beforeAutospacing="1" w:after="100" w:afterAutospacing="1" w:line="240" w:lineRule="auto"/>
        <w:rPr>
          <w:rFonts w:ascii="Times New Roman" w:eastAsia="Times New Roman" w:hAnsi="Times New Roman" w:cs="Times New Roman"/>
          <w:sz w:val="24"/>
          <w:szCs w:val="24"/>
          <w:lang w:eastAsia="ru-RU"/>
        </w:rPr>
      </w:pPr>
      <w:r w:rsidRPr="004370D5">
        <w:rPr>
          <w:rFonts w:ascii="Times New Roman" w:eastAsia="Times New Roman" w:hAnsi="Times New Roman" w:cs="Times New Roman"/>
          <w:b/>
          <w:bCs/>
          <w:sz w:val="24"/>
          <w:szCs w:val="24"/>
          <w:lang w:eastAsia="ru-RU"/>
        </w:rPr>
        <w:t>О зарплатах сотрудников фонда и сокращениях</w:t>
      </w:r>
    </w:p>
    <w:p w:rsidR="004370D5" w:rsidRPr="004370D5" w:rsidRDefault="004370D5" w:rsidP="004370D5">
      <w:pPr>
        <w:spacing w:before="100" w:beforeAutospacing="1" w:after="100" w:afterAutospacing="1" w:line="240" w:lineRule="auto"/>
        <w:rPr>
          <w:rFonts w:ascii="Times New Roman" w:eastAsia="Times New Roman" w:hAnsi="Times New Roman" w:cs="Times New Roman"/>
          <w:sz w:val="24"/>
          <w:szCs w:val="24"/>
          <w:lang w:eastAsia="ru-RU"/>
        </w:rPr>
      </w:pPr>
      <w:r w:rsidRPr="004370D5">
        <w:rPr>
          <w:rFonts w:ascii="Times New Roman" w:eastAsia="Times New Roman" w:hAnsi="Times New Roman" w:cs="Times New Roman"/>
          <w:sz w:val="24"/>
          <w:szCs w:val="24"/>
          <w:lang w:eastAsia="ru-RU"/>
        </w:rPr>
        <w:t xml:space="preserve">«Статус работников фонда находится на уровне [работников] федерального агентства, и зарплату мы вместе с Минфином и Минтрудом оценивали как нижний уровень оплаты труда работников федерального агентства. Но при этом государственные служащие имеют дополнительные льготы, дополнительные возможности, которые работники Пенсионного фонда не имеют. На работников фонда распространяются все ограничения антикоррупционного законодательства, которые распространяются на госслужащих, но не социальные гарантии. Поэтому, конечно, этот вопрос должен быть отражен в законопроекте о статусе фонда. Мы планируем дальнейшую оптимизацию численности фонда. Она связана со структурной перестройкой внутри фонда, с централизацией процессов, в том числе за счет развития информационных технологий. Сейчас у нас утвержден план, согласно которому мы изучаем возможность использования инфраструктуры Фонда социального страхования, для того чтобы гражданин в отделении фонда соцстраха мог получить услугу Пенсионного фонда, и наоборот. Это даст гражданам возможность в шаговой доступности получить услуги фонда, а нам за счет централизации обработки информации — сократить количество персонала на районном уровне и, таким образом, укрепить персонал на уровне субъекта Российской Федерации и повысить качество обработки информации. Мы планируем очень активно использовать МФЦ. Расширяются возможности личного кабинета Единого портала </w:t>
      </w:r>
      <w:proofErr w:type="spellStart"/>
      <w:r w:rsidRPr="004370D5">
        <w:rPr>
          <w:rFonts w:ascii="Times New Roman" w:eastAsia="Times New Roman" w:hAnsi="Times New Roman" w:cs="Times New Roman"/>
          <w:sz w:val="24"/>
          <w:szCs w:val="24"/>
          <w:lang w:eastAsia="ru-RU"/>
        </w:rPr>
        <w:t>госуслуг</w:t>
      </w:r>
      <w:proofErr w:type="spellEnd"/>
      <w:r w:rsidRPr="004370D5">
        <w:rPr>
          <w:rFonts w:ascii="Times New Roman" w:eastAsia="Times New Roman" w:hAnsi="Times New Roman" w:cs="Times New Roman"/>
          <w:sz w:val="24"/>
          <w:szCs w:val="24"/>
          <w:lang w:eastAsia="ru-RU"/>
        </w:rPr>
        <w:t xml:space="preserve">, это также дает нам возможность для того, чтобы обслуживать граждан в удаленном доступе, в основном за счет </w:t>
      </w:r>
      <w:proofErr w:type="spellStart"/>
      <w:r w:rsidRPr="004370D5">
        <w:rPr>
          <w:rFonts w:ascii="Times New Roman" w:eastAsia="Times New Roman" w:hAnsi="Times New Roman" w:cs="Times New Roman"/>
          <w:sz w:val="24"/>
          <w:szCs w:val="24"/>
          <w:lang w:eastAsia="ru-RU"/>
        </w:rPr>
        <w:t>бэк</w:t>
      </w:r>
      <w:proofErr w:type="spellEnd"/>
      <w:r w:rsidRPr="004370D5">
        <w:rPr>
          <w:rFonts w:ascii="Times New Roman" w:eastAsia="Times New Roman" w:hAnsi="Times New Roman" w:cs="Times New Roman"/>
          <w:sz w:val="24"/>
          <w:szCs w:val="24"/>
          <w:lang w:eastAsia="ru-RU"/>
        </w:rPr>
        <w:t xml:space="preserve">-офисов. Например, у нас есть проект единого </w:t>
      </w:r>
      <w:proofErr w:type="gramStart"/>
      <w:r w:rsidRPr="004370D5">
        <w:rPr>
          <w:rFonts w:ascii="Times New Roman" w:eastAsia="Times New Roman" w:hAnsi="Times New Roman" w:cs="Times New Roman"/>
          <w:sz w:val="24"/>
          <w:szCs w:val="24"/>
          <w:lang w:eastAsia="ru-RU"/>
        </w:rPr>
        <w:t>контакт-центра</w:t>
      </w:r>
      <w:proofErr w:type="gramEnd"/>
      <w:r w:rsidRPr="004370D5">
        <w:rPr>
          <w:rFonts w:ascii="Times New Roman" w:eastAsia="Times New Roman" w:hAnsi="Times New Roman" w:cs="Times New Roman"/>
          <w:sz w:val="24"/>
          <w:szCs w:val="24"/>
          <w:lang w:eastAsia="ru-RU"/>
        </w:rPr>
        <w:t xml:space="preserve"> Пенсионного фонда, в перспективе который может быть объединен с контакт-центрами и других фондов в рамках Минтруда. У нас есть определенные планы, как правило, это несколько тысяч человек. Мы их пока еще до конца не определили, поскольку количество задач, которые на нас возложено в этом году, достаточно серьезное. Мы сейчас как раз завершаем работу над «дорожной картой» именно по оптимизации фонда, которую в течение ближайшего месяца уже утвердим».</w:t>
      </w:r>
    </w:p>
    <w:p w:rsidR="004370D5" w:rsidRPr="004370D5" w:rsidRDefault="004370D5" w:rsidP="004370D5">
      <w:pPr>
        <w:spacing w:before="100" w:beforeAutospacing="1" w:after="100" w:afterAutospacing="1" w:line="240" w:lineRule="auto"/>
        <w:rPr>
          <w:rFonts w:ascii="Times New Roman" w:eastAsia="Times New Roman" w:hAnsi="Times New Roman" w:cs="Times New Roman"/>
          <w:sz w:val="24"/>
          <w:szCs w:val="24"/>
          <w:lang w:eastAsia="ru-RU"/>
        </w:rPr>
      </w:pPr>
      <w:r w:rsidRPr="004370D5">
        <w:rPr>
          <w:rFonts w:ascii="Times New Roman" w:eastAsia="Times New Roman" w:hAnsi="Times New Roman" w:cs="Times New Roman"/>
          <w:b/>
          <w:bCs/>
          <w:sz w:val="24"/>
          <w:szCs w:val="24"/>
          <w:lang w:eastAsia="ru-RU"/>
        </w:rPr>
        <w:t xml:space="preserve">О направлении средств </w:t>
      </w:r>
      <w:proofErr w:type="spellStart"/>
      <w:r w:rsidRPr="004370D5">
        <w:rPr>
          <w:rFonts w:ascii="Times New Roman" w:eastAsia="Times New Roman" w:hAnsi="Times New Roman" w:cs="Times New Roman"/>
          <w:b/>
          <w:bCs/>
          <w:sz w:val="24"/>
          <w:szCs w:val="24"/>
          <w:lang w:eastAsia="ru-RU"/>
        </w:rPr>
        <w:t>маткапитала</w:t>
      </w:r>
      <w:proofErr w:type="spellEnd"/>
    </w:p>
    <w:p w:rsidR="004370D5" w:rsidRPr="004370D5" w:rsidRDefault="004370D5" w:rsidP="004370D5">
      <w:pPr>
        <w:spacing w:before="100" w:beforeAutospacing="1" w:after="100" w:afterAutospacing="1" w:line="240" w:lineRule="auto"/>
        <w:rPr>
          <w:rFonts w:ascii="Times New Roman" w:eastAsia="Times New Roman" w:hAnsi="Times New Roman" w:cs="Times New Roman"/>
          <w:sz w:val="24"/>
          <w:szCs w:val="24"/>
          <w:lang w:eastAsia="ru-RU"/>
        </w:rPr>
      </w:pPr>
      <w:r w:rsidRPr="004370D5">
        <w:rPr>
          <w:rFonts w:ascii="Times New Roman" w:eastAsia="Times New Roman" w:hAnsi="Times New Roman" w:cs="Times New Roman"/>
          <w:sz w:val="24"/>
          <w:szCs w:val="24"/>
          <w:lang w:eastAsia="ru-RU"/>
        </w:rPr>
        <w:t xml:space="preserve">«Около 9% семей, обратившихся за </w:t>
      </w:r>
      <w:proofErr w:type="spellStart"/>
      <w:r w:rsidRPr="004370D5">
        <w:rPr>
          <w:rFonts w:ascii="Times New Roman" w:eastAsia="Times New Roman" w:hAnsi="Times New Roman" w:cs="Times New Roman"/>
          <w:sz w:val="24"/>
          <w:szCs w:val="24"/>
          <w:lang w:eastAsia="ru-RU"/>
        </w:rPr>
        <w:t>маткапиталом</w:t>
      </w:r>
      <w:proofErr w:type="spellEnd"/>
      <w:r w:rsidRPr="004370D5">
        <w:rPr>
          <w:rFonts w:ascii="Times New Roman" w:eastAsia="Times New Roman" w:hAnsi="Times New Roman" w:cs="Times New Roman"/>
          <w:sz w:val="24"/>
          <w:szCs w:val="24"/>
          <w:lang w:eastAsia="ru-RU"/>
        </w:rPr>
        <w:t xml:space="preserve">, использовали его на то, чтобы получать ежемесячные выплаты. Это соответствует тем опросам, которые мы проводили, когда выдавали сертификаты. Если говорить о том, какое направление резко увеличило свою популярность, — это образование. В основном за счет того, что граждане начали использовать средства </w:t>
      </w:r>
      <w:proofErr w:type="spellStart"/>
      <w:r w:rsidRPr="004370D5">
        <w:rPr>
          <w:rFonts w:ascii="Times New Roman" w:eastAsia="Times New Roman" w:hAnsi="Times New Roman" w:cs="Times New Roman"/>
          <w:sz w:val="24"/>
          <w:szCs w:val="24"/>
          <w:lang w:eastAsia="ru-RU"/>
        </w:rPr>
        <w:t>маткапитала</w:t>
      </w:r>
      <w:proofErr w:type="spellEnd"/>
      <w:r w:rsidRPr="004370D5">
        <w:rPr>
          <w:rFonts w:ascii="Times New Roman" w:eastAsia="Times New Roman" w:hAnsi="Times New Roman" w:cs="Times New Roman"/>
          <w:sz w:val="24"/>
          <w:szCs w:val="24"/>
          <w:lang w:eastAsia="ru-RU"/>
        </w:rPr>
        <w:t xml:space="preserve"> на присмотр и уход за детьми моложе трех лет. </w:t>
      </w:r>
      <w:proofErr w:type="gramStart"/>
      <w:r w:rsidRPr="004370D5">
        <w:rPr>
          <w:rFonts w:ascii="Times New Roman" w:eastAsia="Times New Roman" w:hAnsi="Times New Roman" w:cs="Times New Roman"/>
          <w:sz w:val="24"/>
          <w:szCs w:val="24"/>
          <w:lang w:eastAsia="ru-RU"/>
        </w:rPr>
        <w:t>Оплата этих услуг — это направление увеличилось почти на 40%. Если до 2018 года порядка 95% средств материнского семейного капитала направлялось на жилье и только 5% на образование и иные цели, то по предварительным итогам за 2018 год 77% средств направляется на жилье, 18% — на образование, присмотр и уход и 5% — на ежемесячные выплаты и иные цели».</w:t>
      </w:r>
      <w:proofErr w:type="gramEnd"/>
    </w:p>
    <w:p w:rsidR="004370D5" w:rsidRPr="004370D5" w:rsidRDefault="004370D5" w:rsidP="004370D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370D5">
        <w:rPr>
          <w:rFonts w:ascii="Times New Roman" w:eastAsia="Times New Roman" w:hAnsi="Times New Roman" w:cs="Times New Roman"/>
          <w:sz w:val="24"/>
          <w:szCs w:val="24"/>
          <w:lang w:eastAsia="ru-RU"/>
        </w:rPr>
        <w:t>Источник: "</w:t>
      </w:r>
      <w:hyperlink r:id="rId5" w:history="1">
        <w:r w:rsidRPr="004370D5">
          <w:rPr>
            <w:rFonts w:ascii="Times New Roman" w:eastAsia="Times New Roman" w:hAnsi="Times New Roman" w:cs="Times New Roman"/>
            <w:color w:val="0000FF"/>
            <w:sz w:val="24"/>
            <w:szCs w:val="24"/>
            <w:u w:val="single"/>
            <w:lang w:eastAsia="ru-RU"/>
          </w:rPr>
          <w:t>РБК</w:t>
        </w:r>
      </w:hyperlink>
      <w:r w:rsidRPr="004370D5">
        <w:rPr>
          <w:rFonts w:ascii="Times New Roman" w:eastAsia="Times New Roman" w:hAnsi="Times New Roman" w:cs="Times New Roman"/>
          <w:sz w:val="24"/>
          <w:szCs w:val="24"/>
          <w:lang w:eastAsia="ru-RU"/>
        </w:rPr>
        <w:t>"</w:t>
      </w:r>
    </w:p>
    <w:p w:rsidR="00DC6660" w:rsidRDefault="00DC6660"/>
    <w:sectPr w:rsidR="00DC66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0D5"/>
    <w:rsid w:val="004370D5"/>
    <w:rsid w:val="00DC6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70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70D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370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70D5"/>
    <w:rPr>
      <w:b/>
      <w:bCs/>
    </w:rPr>
  </w:style>
  <w:style w:type="character" w:styleId="a5">
    <w:name w:val="Hyperlink"/>
    <w:basedOn w:val="a0"/>
    <w:uiPriority w:val="99"/>
    <w:semiHidden/>
    <w:unhideWhenUsed/>
    <w:rsid w:val="004370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70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70D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370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70D5"/>
    <w:rPr>
      <w:b/>
      <w:bCs/>
    </w:rPr>
  </w:style>
  <w:style w:type="character" w:styleId="a5">
    <w:name w:val="Hyperlink"/>
    <w:basedOn w:val="a0"/>
    <w:uiPriority w:val="99"/>
    <w:semiHidden/>
    <w:unhideWhenUsed/>
    <w:rsid w:val="004370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32327">
      <w:bodyDiv w:val="1"/>
      <w:marLeft w:val="0"/>
      <w:marRight w:val="0"/>
      <w:marTop w:val="0"/>
      <w:marBottom w:val="0"/>
      <w:divBdr>
        <w:top w:val="none" w:sz="0" w:space="0" w:color="auto"/>
        <w:left w:val="none" w:sz="0" w:space="0" w:color="auto"/>
        <w:bottom w:val="none" w:sz="0" w:space="0" w:color="auto"/>
        <w:right w:val="none" w:sz="0" w:space="0" w:color="auto"/>
      </w:divBdr>
      <w:divsChild>
        <w:div w:id="497380703">
          <w:marLeft w:val="0"/>
          <w:marRight w:val="0"/>
          <w:marTop w:val="0"/>
          <w:marBottom w:val="0"/>
          <w:divBdr>
            <w:top w:val="none" w:sz="0" w:space="0" w:color="auto"/>
            <w:left w:val="none" w:sz="0" w:space="0" w:color="auto"/>
            <w:bottom w:val="none" w:sz="0" w:space="0" w:color="auto"/>
            <w:right w:val="none" w:sz="0" w:space="0" w:color="auto"/>
          </w:divBdr>
          <w:divsChild>
            <w:div w:id="342977828">
              <w:marLeft w:val="0"/>
              <w:marRight w:val="0"/>
              <w:marTop w:val="0"/>
              <w:marBottom w:val="0"/>
              <w:divBdr>
                <w:top w:val="none" w:sz="0" w:space="0" w:color="auto"/>
                <w:left w:val="none" w:sz="0" w:space="0" w:color="auto"/>
                <w:bottom w:val="none" w:sz="0" w:space="0" w:color="auto"/>
                <w:right w:val="none" w:sz="0" w:space="0" w:color="auto"/>
              </w:divBdr>
            </w:div>
          </w:divsChild>
        </w:div>
        <w:div w:id="1164279648">
          <w:marLeft w:val="0"/>
          <w:marRight w:val="0"/>
          <w:marTop w:val="0"/>
          <w:marBottom w:val="0"/>
          <w:divBdr>
            <w:top w:val="none" w:sz="0" w:space="0" w:color="auto"/>
            <w:left w:val="none" w:sz="0" w:space="0" w:color="auto"/>
            <w:bottom w:val="none" w:sz="0" w:space="0" w:color="auto"/>
            <w:right w:val="none" w:sz="0" w:space="0" w:color="auto"/>
          </w:divBdr>
          <w:divsChild>
            <w:div w:id="367222636">
              <w:marLeft w:val="0"/>
              <w:marRight w:val="0"/>
              <w:marTop w:val="0"/>
              <w:marBottom w:val="0"/>
              <w:divBdr>
                <w:top w:val="none" w:sz="0" w:space="0" w:color="auto"/>
                <w:left w:val="none" w:sz="0" w:space="0" w:color="auto"/>
                <w:bottom w:val="none" w:sz="0" w:space="0" w:color="auto"/>
                <w:right w:val="none" w:sz="0" w:space="0" w:color="auto"/>
              </w:divBdr>
              <w:divsChild>
                <w:div w:id="19175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bc.ru/interview/economics/17/01/2019/5c3f00209a79476a91d0aa6b?from=center_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1503</Words>
  <Characters>8569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ОПФР по Белгородской области</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Ковалева</dc:creator>
  <cp:lastModifiedBy>Виктория Ковалева</cp:lastModifiedBy>
  <cp:revision>1</cp:revision>
  <dcterms:created xsi:type="dcterms:W3CDTF">2019-01-21T12:44:00Z</dcterms:created>
  <dcterms:modified xsi:type="dcterms:W3CDTF">2019-01-21T12:50:00Z</dcterms:modified>
</cp:coreProperties>
</file>